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756CB387" w:rsidR="001C5387" w:rsidRPr="005E67A7" w:rsidRDefault="00A06B16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A7">
              <w:rPr>
                <w:rFonts w:ascii="Times New Roman" w:hAnsi="Times New Roman"/>
                <w:b/>
                <w:sz w:val="24"/>
                <w:szCs w:val="24"/>
              </w:rPr>
              <w:t>Приложение  №</w:t>
            </w:r>
            <w:r w:rsidR="005E67A7" w:rsidRPr="005E67A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0CC5ABFE" w14:textId="77777777" w:rsidR="00F764FC" w:rsidRDefault="00F764FC" w:rsidP="00F764FC">
            <w:pPr>
              <w:pStyle w:val="af0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1663E440" w14:textId="77777777" w:rsidR="00F764FC" w:rsidRDefault="00F764FC" w:rsidP="00F764FC">
            <w:pPr>
              <w:pStyle w:val="af0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</w:p>
          <w:p w14:paraId="11382ED7" w14:textId="77777777" w:rsidR="00F764FC" w:rsidRDefault="00F764FC" w:rsidP="00F764FC">
            <w:pPr>
              <w:pStyle w:val="af0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Семенкинский сельсовет МР </w:t>
            </w:r>
          </w:p>
          <w:p w14:paraId="33699B70" w14:textId="77777777" w:rsidR="00F764FC" w:rsidRDefault="00F764FC" w:rsidP="00F764FC">
            <w:pPr>
              <w:pStyle w:val="af0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14:paraId="757CED67" w14:textId="77777777" w:rsidR="00F764FC" w:rsidRDefault="00F764FC" w:rsidP="00F764FC">
            <w:pPr>
              <w:ind w:firstLine="5670"/>
              <w:rPr>
                <w:sz w:val="28"/>
                <w:szCs w:val="28"/>
              </w:rPr>
            </w:pPr>
            <w:r>
              <w:t>от 08.05.2018  № 29</w:t>
            </w:r>
          </w:p>
          <w:p w14:paraId="4008DED7" w14:textId="20D454CB" w:rsidR="001C5387" w:rsidRPr="00C50333" w:rsidRDefault="001C5387" w:rsidP="005E67A7">
            <w:pPr>
              <w:spacing w:after="0" w:line="240" w:lineRule="auto"/>
              <w:ind w:left="5670"/>
              <w:jc w:val="both"/>
            </w:pP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0A822B03" w14:textId="77777777"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B8C903" w14:textId="77777777"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24585C" w14:textId="77777777" w:rsidR="005E67A7" w:rsidRDefault="005E67A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3B9BAE" w14:textId="77777777" w:rsidR="005E67A7" w:rsidRDefault="005E67A7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43327B" w:rsidRDefault="00D64599" w:rsidP="004332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27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09152EE" w14:textId="2172B33C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Данная инструкция призвана</w:t>
      </w:r>
      <w:r w:rsidR="00341E3D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 xml:space="preserve">регламентировать порядок действий пользователя информационной системы персональных данных </w:t>
      </w:r>
      <w:r w:rsidR="00A311A5" w:rsidRPr="0043327B">
        <w:rPr>
          <w:rFonts w:ascii="Times New Roman" w:hAnsi="Times New Roman"/>
          <w:sz w:val="28"/>
          <w:szCs w:val="28"/>
        </w:rPr>
        <w:t>«</w:t>
      </w:r>
      <w:r w:rsidR="0054591C" w:rsidRPr="0043327B">
        <w:rPr>
          <w:rFonts w:ascii="Times New Roman" w:hAnsi="Times New Roman"/>
          <w:sz w:val="28"/>
          <w:szCs w:val="28"/>
        </w:rPr>
        <w:t>Администрация</w:t>
      </w:r>
      <w:r w:rsidR="0043327B">
        <w:rPr>
          <w:rFonts w:ascii="Times New Roman" w:hAnsi="Times New Roman"/>
          <w:sz w:val="28"/>
          <w:szCs w:val="28"/>
        </w:rPr>
        <w:t xml:space="preserve"> </w:t>
      </w:r>
      <w:r w:rsidR="0043327B" w:rsidRPr="0043327B">
        <w:rPr>
          <w:rFonts w:ascii="Times New Roman" w:hAnsi="Times New Roman"/>
          <w:sz w:val="28"/>
          <w:szCs w:val="28"/>
        </w:rPr>
        <w:t xml:space="preserve">СП Семенкинский сельсовет 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="00861E7F" w:rsidRPr="0043327B">
        <w:rPr>
          <w:rFonts w:ascii="Times New Roman" w:hAnsi="Times New Roman"/>
          <w:sz w:val="28"/>
          <w:szCs w:val="28"/>
        </w:rPr>
        <w:t xml:space="preserve">МР </w:t>
      </w:r>
      <w:r w:rsidR="000E2AEA" w:rsidRPr="0043327B">
        <w:rPr>
          <w:rFonts w:ascii="Times New Roman" w:hAnsi="Times New Roman"/>
          <w:sz w:val="28"/>
          <w:szCs w:val="28"/>
        </w:rPr>
        <w:t>Белебеевский</w:t>
      </w:r>
      <w:r w:rsidR="00861E7F" w:rsidRPr="0043327B">
        <w:rPr>
          <w:rFonts w:ascii="Times New Roman" w:hAnsi="Times New Roman"/>
          <w:sz w:val="28"/>
          <w:szCs w:val="28"/>
        </w:rPr>
        <w:t xml:space="preserve"> район</w:t>
      </w:r>
      <w:r w:rsidR="00A311A5" w:rsidRPr="0043327B">
        <w:rPr>
          <w:rFonts w:ascii="Times New Roman" w:hAnsi="Times New Roman"/>
          <w:sz w:val="28"/>
          <w:szCs w:val="28"/>
        </w:rPr>
        <w:t xml:space="preserve">» </w:t>
      </w:r>
      <w:r w:rsidRPr="0043327B">
        <w:rPr>
          <w:rFonts w:ascii="Times New Roman" w:hAnsi="Times New Roman"/>
          <w:sz w:val="28"/>
          <w:szCs w:val="28"/>
        </w:rPr>
        <w:t>(далее - ИСПДн)</w:t>
      </w:r>
      <w:r w:rsidR="00861E7F" w:rsidRPr="004332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1E7F" w:rsidRPr="0043327B">
        <w:rPr>
          <w:rFonts w:ascii="Times New Roman" w:hAnsi="Times New Roman"/>
          <w:sz w:val="28"/>
          <w:szCs w:val="28"/>
        </w:rPr>
        <w:t>ИСПДн</w:t>
      </w:r>
      <w:proofErr w:type="spellEnd"/>
      <w:r w:rsidR="00861E7F" w:rsidRPr="0043327B">
        <w:rPr>
          <w:rFonts w:ascii="Times New Roman" w:hAnsi="Times New Roman"/>
          <w:sz w:val="28"/>
          <w:szCs w:val="28"/>
        </w:rPr>
        <w:t xml:space="preserve"> «КДН»</w:t>
      </w:r>
      <w:r w:rsidRPr="0043327B">
        <w:rPr>
          <w:rFonts w:ascii="Times New Roman" w:hAnsi="Times New Roman"/>
          <w:sz w:val="28"/>
          <w:szCs w:val="28"/>
        </w:rPr>
        <w:t xml:space="preserve"> </w:t>
      </w:r>
      <w:r w:rsidR="00861E7F" w:rsidRPr="0043327B">
        <w:rPr>
          <w:rFonts w:ascii="Times New Roman" w:hAnsi="Times New Roman"/>
          <w:sz w:val="28"/>
          <w:szCs w:val="28"/>
        </w:rPr>
        <w:t xml:space="preserve">Администрации </w:t>
      </w:r>
      <w:r w:rsidR="0043327B" w:rsidRPr="0043327B">
        <w:rPr>
          <w:rFonts w:ascii="Times New Roman" w:hAnsi="Times New Roman"/>
          <w:sz w:val="28"/>
          <w:szCs w:val="28"/>
        </w:rPr>
        <w:t xml:space="preserve">СП Семенкинский сельсовет  </w:t>
      </w:r>
      <w:r w:rsidR="00861E7F" w:rsidRPr="0043327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E2AEA" w:rsidRPr="0043327B">
        <w:rPr>
          <w:rFonts w:ascii="Times New Roman" w:hAnsi="Times New Roman"/>
          <w:sz w:val="28"/>
          <w:szCs w:val="28"/>
        </w:rPr>
        <w:t>Белебеевский</w:t>
      </w:r>
      <w:r w:rsidR="00861E7F" w:rsidRPr="004332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>(далее в Учреждении) при возникновении внештатных ситуаций.</w:t>
      </w:r>
    </w:p>
    <w:p w14:paraId="422752A5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Инструкция утверждается</w:t>
      </w:r>
      <w:bookmarkStart w:id="0" w:name="_Toc242285013"/>
      <w:r w:rsidRPr="0043327B">
        <w:rPr>
          <w:rFonts w:ascii="Times New Roman" w:hAnsi="Times New Roman"/>
          <w:sz w:val="28"/>
          <w:szCs w:val="28"/>
        </w:rPr>
        <w:t xml:space="preserve"> руководителем учреждения. Настоящая Инструкция определяет возможные аварийные ситуации, связанные с функционированием ИСПДн Учреждения,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Задачей данной Инструкции является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>определение мер защиты от прерывания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>и определение действий восстановления в случае прерывания.</w:t>
      </w:r>
    </w:p>
    <w:p w14:paraId="3ADF16F1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Действие настоящей Инструкции распространяется на всех сотрудников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>Учреждения,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43327B" w:rsidRDefault="00D64599" w:rsidP="004332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40790C2" w14:textId="77777777" w:rsidR="00D64599" w:rsidRPr="0043327B" w:rsidRDefault="00D64599" w:rsidP="004332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обеспечения отказоустойчивости;</w:t>
      </w:r>
    </w:p>
    <w:p w14:paraId="014916EE" w14:textId="0458D415" w:rsidR="00D64599" w:rsidRPr="0043327B" w:rsidRDefault="003E57BA" w:rsidP="004332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64599" w:rsidRPr="004332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системы резервного копирования и хранения данных</w:t>
        </w:r>
      </w:hyperlink>
      <w:r w:rsidR="00D64599" w:rsidRPr="0043327B">
        <w:rPr>
          <w:rFonts w:ascii="Times New Roman" w:hAnsi="Times New Roman"/>
          <w:sz w:val="28"/>
          <w:szCs w:val="28"/>
        </w:rPr>
        <w:t>;</w:t>
      </w:r>
    </w:p>
    <w:p w14:paraId="6C0161A1" w14:textId="77777777" w:rsidR="00D64599" w:rsidRPr="0043327B" w:rsidRDefault="00D64599" w:rsidP="004332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0C0B4E09" w14:textId="77777777" w:rsidR="00D64599" w:rsidRPr="0043327B" w:rsidRDefault="00D64599" w:rsidP="004332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Пересмотр настоящего документа осуществляется по мере необходимости, но не реже одного </w:t>
      </w:r>
      <w:r w:rsidRPr="0043327B">
        <w:rPr>
          <w:rFonts w:ascii="Times New Roman" w:hAnsi="Times New Roman"/>
          <w:vanish/>
          <w:sz w:val="28"/>
          <w:szCs w:val="28"/>
        </w:rPr>
        <w:t xml:space="preserve">одного </w:t>
      </w:r>
      <w:r w:rsidRPr="0043327B">
        <w:rPr>
          <w:rFonts w:ascii="Times New Roman" w:hAnsi="Times New Roman"/>
          <w:sz w:val="28"/>
          <w:szCs w:val="28"/>
        </w:rPr>
        <w:t>раза в два года.</w:t>
      </w:r>
    </w:p>
    <w:p w14:paraId="28BD678B" w14:textId="77777777" w:rsidR="00E076DB" w:rsidRPr="0043327B" w:rsidRDefault="00E076DB" w:rsidP="004332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A02C9" w14:textId="77777777" w:rsidR="00D64599" w:rsidRPr="0043327B" w:rsidRDefault="00D64599" w:rsidP="004332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43327B">
        <w:rPr>
          <w:rFonts w:ascii="Times New Roman" w:hAnsi="Times New Roman"/>
          <w:b/>
          <w:bCs/>
          <w:sz w:val="28"/>
          <w:szCs w:val="28"/>
        </w:rPr>
        <w:t>Порядок д</w:t>
      </w:r>
      <w:r w:rsidRPr="0043327B">
        <w:rPr>
          <w:rFonts w:ascii="Times New Roman" w:hAnsi="Times New Roman"/>
          <w:b/>
          <w:bCs/>
          <w:iCs/>
          <w:sz w:val="28"/>
          <w:szCs w:val="28"/>
        </w:rPr>
        <w:t>ействий при возникновении аварийной ситуации</w:t>
      </w:r>
      <w:bookmarkEnd w:id="1"/>
      <w:bookmarkEnd w:id="2"/>
      <w:bookmarkEnd w:id="3"/>
      <w:bookmarkEnd w:id="4"/>
    </w:p>
    <w:p w14:paraId="1D8990D8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«Модели угроз». </w:t>
      </w:r>
    </w:p>
    <w:p w14:paraId="41866E4F" w14:textId="12E224A4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43327B">
        <w:rPr>
          <w:rFonts w:ascii="Times New Roman" w:hAnsi="Times New Roman"/>
          <w:sz w:val="28"/>
          <w:szCs w:val="28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 информационной системы персональных данных</w:t>
      </w:r>
      <w:r w:rsidRPr="0043327B">
        <w:rPr>
          <w:rFonts w:ascii="Times New Roman" w:hAnsi="Times New Roman"/>
          <w:sz w:val="28"/>
          <w:szCs w:val="28"/>
        </w:rPr>
        <w:t>»</w:t>
      </w:r>
      <w:r w:rsidR="00D1652F" w:rsidRPr="0043327B">
        <w:rPr>
          <w:rFonts w:ascii="Times New Roman" w:hAnsi="Times New Roman"/>
          <w:sz w:val="28"/>
          <w:szCs w:val="28"/>
        </w:rPr>
        <w:t xml:space="preserve"> (Приложение </w:t>
      </w:r>
      <w:r w:rsidR="00CB5B88" w:rsidRPr="0043327B">
        <w:rPr>
          <w:rFonts w:ascii="Times New Roman" w:hAnsi="Times New Roman"/>
          <w:sz w:val="28"/>
          <w:szCs w:val="28"/>
        </w:rPr>
        <w:t>25</w:t>
      </w:r>
      <w:r w:rsidR="00D1652F" w:rsidRPr="0043327B">
        <w:rPr>
          <w:rFonts w:ascii="Times New Roman" w:hAnsi="Times New Roman"/>
          <w:sz w:val="28"/>
          <w:szCs w:val="28"/>
        </w:rPr>
        <w:t xml:space="preserve"> к Постановлению «Об утверждении перечня мер</w:t>
      </w:r>
      <w:proofErr w:type="gramStart"/>
      <w:r w:rsidR="00D1652F" w:rsidRPr="004332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652F" w:rsidRPr="0043327B">
        <w:rPr>
          <w:rFonts w:ascii="Times New Roman" w:hAnsi="Times New Roman"/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</w:t>
      </w:r>
      <w:proofErr w:type="gramStart"/>
      <w:r w:rsidR="00D1652F" w:rsidRPr="0043327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1652F" w:rsidRPr="0043327B">
        <w:rPr>
          <w:rFonts w:ascii="Times New Roman" w:hAnsi="Times New Roman"/>
          <w:sz w:val="28"/>
          <w:szCs w:val="28"/>
        </w:rPr>
        <w:t xml:space="preserve"> с ним нормативными правовыми актами»)</w:t>
      </w:r>
      <w:r w:rsidRPr="0043327B">
        <w:rPr>
          <w:rFonts w:ascii="Times New Roman" w:hAnsi="Times New Roman"/>
          <w:sz w:val="28"/>
          <w:szCs w:val="28"/>
        </w:rPr>
        <w:t>.</w:t>
      </w:r>
    </w:p>
    <w:p w14:paraId="5D429D3F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lastRenderedPageBreak/>
        <w:t>В кратчайшие сроки, не превышающие одного рабочего дня, ответственный за обеспечение информационной безопасности, администратор баз данных</w:t>
      </w:r>
      <w:r w:rsidR="00341E3D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 xml:space="preserve">или другой назначенный </w:t>
      </w:r>
      <w:proofErr w:type="gramStart"/>
      <w:r w:rsidRPr="0043327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3327B">
        <w:rPr>
          <w:rFonts w:ascii="Times New Roman" w:hAnsi="Times New Roman"/>
          <w:sz w:val="28"/>
          <w:szCs w:val="28"/>
        </w:rPr>
        <w:t xml:space="preserve"> за реагирование сотрудник предпринимает меры по восстановлению работоспособности. Предпринимаемые меры по возможности согласуются с вышестоящим руководством. При необходимости привлекаются квалифицированные сотрудники сторонних организаций с целью восстановления работоспособности в кратчайшие сроки. </w:t>
      </w:r>
    </w:p>
    <w:p w14:paraId="5F975DD7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43327B">
        <w:rPr>
          <w:rFonts w:ascii="Times New Roman" w:hAnsi="Times New Roman"/>
          <w:b/>
          <w:bCs/>
          <w:iCs/>
          <w:sz w:val="28"/>
          <w:szCs w:val="28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14:paraId="4CF7E6C8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Уровень 1 – </w:t>
      </w:r>
      <w:r w:rsidRPr="0043327B">
        <w:rPr>
          <w:rFonts w:ascii="Times New Roman" w:hAnsi="Times New Roman"/>
          <w:b/>
          <w:sz w:val="28"/>
          <w:szCs w:val="28"/>
        </w:rPr>
        <w:t>Незначительный инцидент</w:t>
      </w:r>
      <w:r w:rsidRPr="0043327B">
        <w:rPr>
          <w:rFonts w:ascii="Times New Roman" w:hAnsi="Times New Roman"/>
          <w:sz w:val="28"/>
          <w:szCs w:val="28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Уровень 2 – </w:t>
      </w:r>
      <w:r w:rsidRPr="0043327B">
        <w:rPr>
          <w:rFonts w:ascii="Times New Roman" w:hAnsi="Times New Roman"/>
          <w:b/>
          <w:sz w:val="28"/>
          <w:szCs w:val="28"/>
        </w:rPr>
        <w:t>Авария</w:t>
      </w:r>
      <w:r w:rsidRPr="0043327B">
        <w:rPr>
          <w:rFonts w:ascii="Times New Roman" w:hAnsi="Times New Roman"/>
          <w:sz w:val="28"/>
          <w:szCs w:val="28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К авариям относятся следующие инциденты:</w:t>
      </w:r>
    </w:p>
    <w:p w14:paraId="4E4A5892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Отказ элементов ИСПДн и средств защиты </w:t>
      </w:r>
      <w:proofErr w:type="gramStart"/>
      <w:r w:rsidRPr="0043327B">
        <w:rPr>
          <w:rFonts w:ascii="Times New Roman" w:hAnsi="Times New Roman"/>
          <w:sz w:val="28"/>
          <w:szCs w:val="28"/>
        </w:rPr>
        <w:t>из-за</w:t>
      </w:r>
      <w:proofErr w:type="gramEnd"/>
      <w:r w:rsidRPr="0043327B">
        <w:rPr>
          <w:rFonts w:ascii="Times New Roman" w:hAnsi="Times New Roman"/>
          <w:sz w:val="28"/>
          <w:szCs w:val="28"/>
        </w:rPr>
        <w:t xml:space="preserve">: </w:t>
      </w:r>
    </w:p>
    <w:p w14:paraId="1534AA44" w14:textId="77777777" w:rsidR="00D64599" w:rsidRPr="0043327B" w:rsidRDefault="00D64599" w:rsidP="004332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Pr="0043327B" w:rsidRDefault="00D64599" w:rsidP="004332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сбоя системы кондиционирования;</w:t>
      </w:r>
    </w:p>
    <w:p w14:paraId="35828B1C" w14:textId="77777777" w:rsidR="00D64599" w:rsidRPr="0043327B" w:rsidRDefault="00D64599" w:rsidP="004332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Уровень 3 – </w:t>
      </w:r>
      <w:r w:rsidRPr="0043327B">
        <w:rPr>
          <w:rFonts w:ascii="Times New Roman" w:hAnsi="Times New Roman"/>
          <w:b/>
          <w:sz w:val="28"/>
          <w:szCs w:val="28"/>
        </w:rPr>
        <w:t>Катастрофа</w:t>
      </w:r>
      <w:r w:rsidRPr="0043327B">
        <w:rPr>
          <w:rFonts w:ascii="Times New Roman" w:hAnsi="Times New Roman"/>
          <w:sz w:val="28"/>
          <w:szCs w:val="28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К катастрофам относятся следующие инциденты:</w:t>
      </w:r>
    </w:p>
    <w:p w14:paraId="7FE1FE74" w14:textId="77777777" w:rsidR="00D64599" w:rsidRPr="0043327B" w:rsidRDefault="00D64599" w:rsidP="0043327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пожар в здании;</w:t>
      </w:r>
    </w:p>
    <w:p w14:paraId="1BEB9AB5" w14:textId="77777777" w:rsidR="00D64599" w:rsidRPr="0043327B" w:rsidRDefault="00D64599" w:rsidP="0043327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взрыв;</w:t>
      </w:r>
    </w:p>
    <w:p w14:paraId="389AE141" w14:textId="77777777" w:rsidR="00D64599" w:rsidRPr="0043327B" w:rsidRDefault="00D64599" w:rsidP="0043327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просадка грунта с частичным обрушением здания; </w:t>
      </w:r>
    </w:p>
    <w:p w14:paraId="28C049BD" w14:textId="77777777" w:rsidR="00D64599" w:rsidRPr="0043327B" w:rsidRDefault="00D64599" w:rsidP="0043327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массовые беспорядки в непосредственной близости от Объекта.</w:t>
      </w:r>
    </w:p>
    <w:p w14:paraId="07411789" w14:textId="77777777" w:rsidR="00E81F3C" w:rsidRPr="0043327B" w:rsidRDefault="00E81F3C" w:rsidP="0043327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D9AA4E" w14:textId="77777777" w:rsidR="00D64599" w:rsidRPr="0043327B" w:rsidRDefault="00D64599" w:rsidP="004332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43327B">
        <w:rPr>
          <w:rFonts w:ascii="Times New Roman" w:hAnsi="Times New Roman"/>
          <w:b/>
          <w:bCs/>
          <w:sz w:val="28"/>
          <w:szCs w:val="28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14:paraId="00675997" w14:textId="77777777" w:rsidR="00D64599" w:rsidRPr="0043327B" w:rsidRDefault="00D64599" w:rsidP="0043327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43327B">
        <w:rPr>
          <w:rFonts w:ascii="Times New Roman" w:hAnsi="Times New Roman"/>
          <w:bCs/>
          <w:iCs/>
          <w:sz w:val="28"/>
          <w:szCs w:val="28"/>
        </w:rPr>
        <w:t>Технические меры</w:t>
      </w:r>
      <w:bookmarkEnd w:id="14"/>
      <w:bookmarkEnd w:id="15"/>
      <w:bookmarkEnd w:id="16"/>
      <w:bookmarkEnd w:id="17"/>
    </w:p>
    <w:p w14:paraId="17E4B506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43327B" w:rsidRDefault="00D64599" w:rsidP="0043327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BB4D6ED" w14:textId="77777777" w:rsidR="00D64599" w:rsidRPr="0043327B" w:rsidRDefault="00D64599" w:rsidP="0043327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lastRenderedPageBreak/>
        <w:t>системы обеспечения отказоустойчивости;</w:t>
      </w:r>
    </w:p>
    <w:p w14:paraId="03A6011E" w14:textId="77777777" w:rsidR="00D64599" w:rsidRPr="0043327B" w:rsidRDefault="00D64599" w:rsidP="0043327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резервного копирования и хранения данных;</w:t>
      </w:r>
    </w:p>
    <w:p w14:paraId="12858629" w14:textId="77777777" w:rsidR="00D64599" w:rsidRPr="0043327B" w:rsidRDefault="00D64599" w:rsidP="0043327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27789775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жизнеобеспечения ИСПДн включают:</w:t>
      </w:r>
    </w:p>
    <w:p w14:paraId="58571EB2" w14:textId="77777777" w:rsidR="00D64599" w:rsidRPr="0043327B" w:rsidRDefault="00D64599" w:rsidP="0043327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пожарные сигнализации и системы пожаротушения;</w:t>
      </w:r>
    </w:p>
    <w:p w14:paraId="21417F89" w14:textId="77777777" w:rsidR="00D64599" w:rsidRPr="0043327B" w:rsidRDefault="00D64599" w:rsidP="0043327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вентиляции и кондиционирования;</w:t>
      </w:r>
    </w:p>
    <w:p w14:paraId="68C681AF" w14:textId="77777777" w:rsidR="00D64599" w:rsidRPr="0043327B" w:rsidRDefault="00D64599" w:rsidP="0043327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системы резервного питания.</w:t>
      </w:r>
    </w:p>
    <w:p w14:paraId="226A0B64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Все критичные помещения Учреждения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Порядок предотвращения потерь информации и организации системы жизнеобеспечения ИСПДн описан в «</w:t>
      </w:r>
      <w:r w:rsidR="00E076DB" w:rsidRPr="0043327B">
        <w:rPr>
          <w:rFonts w:ascii="Times New Roman" w:hAnsi="Times New Roman"/>
          <w:sz w:val="28"/>
          <w:szCs w:val="28"/>
        </w:rPr>
        <w:t>Порядке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43327B">
        <w:rPr>
          <w:rFonts w:ascii="Times New Roman" w:hAnsi="Times New Roman"/>
          <w:sz w:val="28"/>
          <w:szCs w:val="28"/>
        </w:rPr>
        <w:t>».</w:t>
      </w:r>
    </w:p>
    <w:p w14:paraId="159B7ABE" w14:textId="77777777" w:rsidR="00D64599" w:rsidRPr="0043327B" w:rsidRDefault="00D64599" w:rsidP="0043327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43327B">
        <w:rPr>
          <w:rFonts w:ascii="Times New Roman" w:hAnsi="Times New Roman"/>
          <w:bCs/>
          <w:iCs/>
          <w:sz w:val="28"/>
          <w:szCs w:val="28"/>
        </w:rPr>
        <w:t>Организационные меры</w:t>
      </w:r>
      <w:bookmarkEnd w:id="18"/>
      <w:bookmarkEnd w:id="19"/>
      <w:bookmarkEnd w:id="20"/>
      <w:bookmarkEnd w:id="21"/>
    </w:p>
    <w:p w14:paraId="08C086AC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Ответственные за реагирование сотрудники ознакомляют всех сотрудников Учреждения,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 xml:space="preserve">Должно быть проведено обучение сотрудников Учреждения,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Сотрудники, ответственные за обеспечение безопасности</w:t>
      </w:r>
      <w:r w:rsidR="0054591C" w:rsidRPr="0043327B">
        <w:rPr>
          <w:rFonts w:ascii="Times New Roman" w:hAnsi="Times New Roman"/>
          <w:sz w:val="28"/>
          <w:szCs w:val="28"/>
        </w:rPr>
        <w:t xml:space="preserve"> </w:t>
      </w:r>
      <w:r w:rsidRPr="0043327B">
        <w:rPr>
          <w:rFonts w:ascii="Times New Roman" w:hAnsi="Times New Roman"/>
          <w:sz w:val="28"/>
          <w:szCs w:val="28"/>
        </w:rPr>
        <w:t>ИСПДн должны быть дополнительно обучены методам частичного и полного восстановления работоспособности элементов ИСПДн.</w:t>
      </w:r>
    </w:p>
    <w:p w14:paraId="0DBD3396" w14:textId="67309D10" w:rsidR="001F6FFE" w:rsidRPr="0043327B" w:rsidRDefault="00D64599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7B">
        <w:rPr>
          <w:rFonts w:ascii="Times New Roman" w:hAnsi="Times New Roman"/>
          <w:sz w:val="28"/>
          <w:szCs w:val="28"/>
        </w:rPr>
        <w:t>Ответственность за организацию обучения должностных лиц несет должностное лицо, ответственное за обеспечение безопасности ИСПДн.</w:t>
      </w:r>
    </w:p>
    <w:p w14:paraId="350CEA00" w14:textId="77777777" w:rsidR="00D413FD" w:rsidRPr="0043327B" w:rsidRDefault="00D413FD" w:rsidP="0043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413FD" w:rsidRPr="0043327B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52045766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14:paraId="308F7EEA" w14:textId="2B5405FF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утвержденной постановлением Администрации </w:t>
            </w:r>
            <w:r w:rsidR="0043327B" w:rsidRPr="0043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2" w:name="_GoBack"/>
            <w:r w:rsidR="0043327B" w:rsidRPr="0043327B">
              <w:rPr>
                <w:rFonts w:ascii="Times New Roman" w:hAnsi="Times New Roman"/>
              </w:rPr>
              <w:t xml:space="preserve">СП Семенкинский сельсовет  </w:t>
            </w:r>
            <w:r w:rsidR="006C13AC" w:rsidRPr="0043327B">
              <w:rPr>
                <w:rFonts w:ascii="Times New Roman" w:eastAsia="Times New Roman" w:hAnsi="Times New Roman"/>
                <w:lang w:eastAsia="ru-RU"/>
              </w:rPr>
              <w:t>МР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22"/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Белебеевский район РБ </w:t>
            </w:r>
          </w:p>
          <w:p w14:paraId="0C0498B9" w14:textId="7A470B97" w:rsidR="00D413FD" w:rsidRPr="004F7187" w:rsidRDefault="000E2AEA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»______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</w:t>
            </w:r>
          </w:p>
          <w:p w14:paraId="2763B02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2313" w14:textId="77777777" w:rsidR="003E57BA" w:rsidRDefault="003E57BA" w:rsidP="00FA3462">
      <w:pPr>
        <w:spacing w:after="0" w:line="240" w:lineRule="auto"/>
      </w:pPr>
      <w:r>
        <w:separator/>
      </w:r>
    </w:p>
  </w:endnote>
  <w:endnote w:type="continuationSeparator" w:id="0">
    <w:p w14:paraId="173F8235" w14:textId="77777777" w:rsidR="003E57BA" w:rsidRDefault="003E57BA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3E57B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C552" w14:textId="77777777" w:rsidR="009F1D7F" w:rsidRDefault="003E57BA">
    <w:pPr>
      <w:pStyle w:val="ae"/>
      <w:jc w:val="center"/>
    </w:pPr>
  </w:p>
  <w:p w14:paraId="19D6C39E" w14:textId="77777777" w:rsidR="009F1D7F" w:rsidRDefault="003E5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970A" w14:textId="77777777" w:rsidR="003E57BA" w:rsidRDefault="003E57BA" w:rsidP="00FA3462">
      <w:pPr>
        <w:spacing w:after="0" w:line="240" w:lineRule="auto"/>
      </w:pPr>
      <w:r>
        <w:separator/>
      </w:r>
    </w:p>
  </w:footnote>
  <w:footnote w:type="continuationSeparator" w:id="0">
    <w:p w14:paraId="49391C07" w14:textId="77777777" w:rsidR="003E57BA" w:rsidRDefault="003E57BA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1A4" w14:textId="77777777" w:rsidR="007A49E7" w:rsidRDefault="003E57BA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70745"/>
    <w:rsid w:val="000944A9"/>
    <w:rsid w:val="000D6691"/>
    <w:rsid w:val="000E2AEA"/>
    <w:rsid w:val="00151675"/>
    <w:rsid w:val="001B256F"/>
    <w:rsid w:val="001B5FC6"/>
    <w:rsid w:val="001C2A9F"/>
    <w:rsid w:val="001C5387"/>
    <w:rsid w:val="001D1C35"/>
    <w:rsid w:val="001D592E"/>
    <w:rsid w:val="001F6FFE"/>
    <w:rsid w:val="0031779A"/>
    <w:rsid w:val="00333B6B"/>
    <w:rsid w:val="00341E3D"/>
    <w:rsid w:val="00354425"/>
    <w:rsid w:val="0035603D"/>
    <w:rsid w:val="0036519F"/>
    <w:rsid w:val="00371B0B"/>
    <w:rsid w:val="003E57BA"/>
    <w:rsid w:val="0043327B"/>
    <w:rsid w:val="00486103"/>
    <w:rsid w:val="004963DE"/>
    <w:rsid w:val="004B60C0"/>
    <w:rsid w:val="004C6CAC"/>
    <w:rsid w:val="004D3B66"/>
    <w:rsid w:val="0054591C"/>
    <w:rsid w:val="005B20B9"/>
    <w:rsid w:val="005E67A7"/>
    <w:rsid w:val="006C13AC"/>
    <w:rsid w:val="006E2179"/>
    <w:rsid w:val="00717091"/>
    <w:rsid w:val="00812A22"/>
    <w:rsid w:val="00832DFA"/>
    <w:rsid w:val="00861E7F"/>
    <w:rsid w:val="00883F63"/>
    <w:rsid w:val="008E5859"/>
    <w:rsid w:val="009048C8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B27B5A"/>
    <w:rsid w:val="00B625E9"/>
    <w:rsid w:val="00B76414"/>
    <w:rsid w:val="00BE21F8"/>
    <w:rsid w:val="00C06699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B25AB"/>
    <w:rsid w:val="00EC1D2F"/>
    <w:rsid w:val="00EE6A71"/>
    <w:rsid w:val="00F5482F"/>
    <w:rsid w:val="00F764FC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  <w:style w:type="paragraph" w:styleId="af0">
    <w:name w:val="No Spacing"/>
    <w:uiPriority w:val="1"/>
    <w:qFormat/>
    <w:rsid w:val="00F764FC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  <w:style w:type="paragraph" w:styleId="af0">
    <w:name w:val="No Spacing"/>
    <w:uiPriority w:val="1"/>
    <w:qFormat/>
    <w:rsid w:val="00F764F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</cp:lastModifiedBy>
  <cp:revision>10</cp:revision>
  <cp:lastPrinted>2018-04-25T10:24:00Z</cp:lastPrinted>
  <dcterms:created xsi:type="dcterms:W3CDTF">2017-07-31T08:08:00Z</dcterms:created>
  <dcterms:modified xsi:type="dcterms:W3CDTF">2018-05-16T09:21:00Z</dcterms:modified>
</cp:coreProperties>
</file>